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8555a" w:val="clear"/>
            <w:tcMar>
              <w:top w:w="260.0" w:type="dxa"/>
              <w:left w:w="300.0" w:type="dxa"/>
              <w:bottom w:w="260.0" w:type="dxa"/>
              <w:right w:w="300.0" w:type="dxa"/>
            </w:tcMar>
          </w:tcPr>
          <w:p w:rsidR="00000000" w:rsidDel="00000000" w:rsidP="00000000" w:rsidRDefault="00000000" w:rsidRPr="00000000" w14:paraId="00000002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d7e07e"/>
                <w:sz w:val="20"/>
                <w:szCs w:val="20"/>
                <w:rtl w:val="0"/>
              </w:rPr>
              <w:t xml:space="preserve">CURA CAREER ACCELERATOR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before="100" w:lineRule="auto"/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32"/>
                <w:szCs w:val="32"/>
                <w:rtl w:val="0"/>
              </w:rPr>
              <w:t xml:space="preserve">Cultivation Tracker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Network and build relationships that last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spacing w:after="100" w:before="220" w:lineRule="auto"/>
        <w:rPr/>
      </w:pPr>
      <w:r w:rsidDel="00000000" w:rsidR="00000000" w:rsidRPr="00000000">
        <w:rPr>
          <w:rFonts w:ascii="Poppins" w:cs="Poppins" w:eastAsia="Poppins" w:hAnsi="Poppins"/>
          <w:color w:val="222222"/>
          <w:rtl w:val="0"/>
        </w:rPr>
        <w:t xml:space="preserve">Use this tracker to keep your network warm. Real contacts, revisited over time, beats a hundred names and people you never talk to again.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20" w:lineRule="auto"/>
        <w:rPr>
          <w:color w:val="222222"/>
        </w:rPr>
      </w:pPr>
      <w:r w:rsidDel="00000000" w:rsidR="00000000" w:rsidRPr="00000000">
        <w:rPr>
          <w:rFonts w:ascii="Poppins" w:cs="Poppins" w:eastAsia="Poppins" w:hAnsi="Poppins"/>
          <w:color w:val="222222"/>
          <w:rtl w:val="0"/>
        </w:rPr>
        <w:t xml:space="preserve">Add a new row every time you meet someone worth staying in touch with: a career fair contact, a LinkedIn connection, a guest speaker, a professor. Revisit this tracker every few weeks and reach out before you need something.</w:t>
      </w: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20"/>
        <w:gridCol w:w="2070"/>
        <w:gridCol w:w="3810"/>
        <w:gridCol w:w="1560"/>
        <w:tblGridChange w:id="0">
          <w:tblGrid>
            <w:gridCol w:w="1920"/>
            <w:gridCol w:w="2070"/>
            <w:gridCol w:w="3810"/>
            <w:gridCol w:w="156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shd w:fill="18555a" w:val="clear"/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07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Name, Role, Company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shd w:fill="18555a" w:val="clear"/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Poppins" w:cs="Poppins" w:eastAsia="Poppins" w:hAnsi="Poppins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How We Met </w:t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&amp;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shd w:fill="18555a" w:val="clear"/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Poppins" w:cs="Poppins" w:eastAsia="Poppins" w:hAnsi="Poppins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What We Talked About</w:t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Poppins" w:cs="Poppins" w:eastAsia="Poppins" w:hAnsi="Poppins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&amp; Next Steps</w:t>
            </w:r>
          </w:p>
        </w:tc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shd w:fill="18555a" w:val="clear"/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0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Next Check-In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60.0" w:type="dxa"/>
              <w:left w:w="150.0" w:type="dxa"/>
              <w:bottom w:w="160.0" w:type="dxa"/>
              <w:right w:w="150.0" w:type="dxa"/>
            </w:tcMar>
          </w:tcPr>
          <w:p w:rsidR="00000000" w:rsidDel="00000000" w:rsidP="00000000" w:rsidRDefault="00000000" w:rsidRPr="00000000" w14:paraId="0000000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Terry Martinez, Senior Associate, PwC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60.0" w:type="dxa"/>
              <w:left w:w="150.0" w:type="dxa"/>
              <w:bottom w:w="160.0" w:type="dxa"/>
              <w:right w:w="150.0" w:type="dxa"/>
            </w:tcMar>
          </w:tcPr>
          <w:p w:rsidR="00000000" w:rsidDel="00000000" w:rsidP="00000000" w:rsidRDefault="00000000" w:rsidRPr="00000000" w14:paraId="0000000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College Alumni Mixer 9/15/26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60.0" w:type="dxa"/>
              <w:left w:w="150.0" w:type="dxa"/>
              <w:bottom w:w="160.0" w:type="dxa"/>
              <w:right w:w="150.0" w:type="dxa"/>
            </w:tcMar>
          </w:tcPr>
          <w:p w:rsidR="00000000" w:rsidDel="00000000" w:rsidP="00000000" w:rsidRDefault="00000000" w:rsidRPr="00000000" w14:paraId="0000000F">
            <w:pPr>
              <w:rPr>
                <w:rFonts w:ascii="Poppins" w:cs="Poppins" w:eastAsia="Poppins" w:hAnsi="Poppins"/>
                <w:i w:val="1"/>
                <w:iCs w:val="1"/>
                <w:color w:val="888888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Next step 9/22: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Share what I learned about niches. Get feedback. Learn about internship programs.</w:t>
            </w:r>
          </w:p>
          <w:p w:rsidR="00000000" w:rsidDel="00000000" w:rsidP="00000000" w:rsidRDefault="00000000" w:rsidRPr="00000000" w14:paraId="0000001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Talked about 9/15:</w:t>
            </w: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 Her move from public accounting to industry. She advised starting with a niche to get experience.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60.0" w:type="dxa"/>
              <w:left w:w="150.0" w:type="dxa"/>
              <w:bottom w:w="160.0" w:type="dxa"/>
              <w:right w:w="150.0" w:type="dxa"/>
            </w:tcMar>
          </w:tcPr>
          <w:p w:rsidR="00000000" w:rsidDel="00000000" w:rsidP="00000000" w:rsidRDefault="00000000" w:rsidRPr="00000000" w14:paraId="0000001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9/22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60.0" w:type="dxa"/>
              <w:left w:w="150.0" w:type="dxa"/>
              <w:bottom w:w="160.0" w:type="dxa"/>
              <w:right w:w="150.0" w:type="dxa"/>
            </w:tcMar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60.0" w:type="dxa"/>
              <w:left w:w="150.0" w:type="dxa"/>
              <w:bottom w:w="160.0" w:type="dxa"/>
              <w:right w:w="150.0" w:type="dxa"/>
            </w:tcMar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60.0" w:type="dxa"/>
              <w:left w:w="150.0" w:type="dxa"/>
              <w:bottom w:w="160.0" w:type="dxa"/>
              <w:right w:w="150.0" w:type="dxa"/>
            </w:tcMar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60.0" w:type="dxa"/>
              <w:left w:w="150.0" w:type="dxa"/>
              <w:bottom w:w="160.0" w:type="dxa"/>
              <w:right w:w="150.0" w:type="dxa"/>
            </w:tcMar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60.0" w:type="dxa"/>
              <w:left w:w="150.0" w:type="dxa"/>
              <w:bottom w:w="160.0" w:type="dxa"/>
              <w:right w:w="150.0" w:type="dxa"/>
            </w:tcMar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60.0" w:type="dxa"/>
              <w:left w:w="150.0" w:type="dxa"/>
              <w:bottom w:w="160.0" w:type="dxa"/>
              <w:right w:w="150.0" w:type="dxa"/>
            </w:tcMar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60.0" w:type="dxa"/>
              <w:left w:w="150.0" w:type="dxa"/>
              <w:bottom w:w="160.0" w:type="dxa"/>
              <w:right w:w="150.0" w:type="dxa"/>
            </w:tcMar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60.0" w:type="dxa"/>
              <w:left w:w="150.0" w:type="dxa"/>
              <w:bottom w:w="160.0" w:type="dxa"/>
              <w:right w:w="150.0" w:type="dxa"/>
            </w:tcMar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60.0" w:type="dxa"/>
              <w:left w:w="150.0" w:type="dxa"/>
              <w:bottom w:w="160.0" w:type="dxa"/>
              <w:right w:w="150.0" w:type="dxa"/>
            </w:tcMar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60.0" w:type="dxa"/>
              <w:left w:w="150.0" w:type="dxa"/>
              <w:bottom w:w="160.0" w:type="dxa"/>
              <w:right w:w="150.0" w:type="dxa"/>
            </w:tcMar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60.0" w:type="dxa"/>
              <w:left w:w="150.0" w:type="dxa"/>
              <w:bottom w:w="160.0" w:type="dxa"/>
              <w:right w:w="150.0" w:type="dxa"/>
            </w:tcMar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60.0" w:type="dxa"/>
              <w:left w:w="150.0" w:type="dxa"/>
              <w:bottom w:w="160.0" w:type="dxa"/>
              <w:right w:w="150.0" w:type="dxa"/>
            </w:tcMar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60.0" w:type="dxa"/>
              <w:left w:w="150.0" w:type="dxa"/>
              <w:bottom w:w="160.0" w:type="dxa"/>
              <w:right w:w="150.0" w:type="dxa"/>
            </w:tcMar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60.0" w:type="dxa"/>
              <w:left w:w="150.0" w:type="dxa"/>
              <w:bottom w:w="160.0" w:type="dxa"/>
              <w:right w:w="150.0" w:type="dxa"/>
            </w:tcMar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60.0" w:type="dxa"/>
              <w:left w:w="150.0" w:type="dxa"/>
              <w:bottom w:w="160.0" w:type="dxa"/>
              <w:right w:w="150.0" w:type="dxa"/>
            </w:tcMar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60.0" w:type="dxa"/>
              <w:left w:w="150.0" w:type="dxa"/>
              <w:bottom w:w="160.0" w:type="dxa"/>
              <w:right w:w="150.0" w:type="dxa"/>
            </w:tcMar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60.0" w:type="dxa"/>
              <w:left w:w="150.0" w:type="dxa"/>
              <w:bottom w:w="160.0" w:type="dxa"/>
              <w:right w:w="150.0" w:type="dxa"/>
            </w:tcMar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60.0" w:type="dxa"/>
              <w:left w:w="150.0" w:type="dxa"/>
              <w:bottom w:w="160.0" w:type="dxa"/>
              <w:right w:w="150.0" w:type="dxa"/>
            </w:tcMar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60.0" w:type="dxa"/>
              <w:left w:w="150.0" w:type="dxa"/>
              <w:bottom w:w="160.0" w:type="dxa"/>
              <w:right w:w="150.0" w:type="dxa"/>
            </w:tcMar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60.0" w:type="dxa"/>
              <w:left w:w="150.0" w:type="dxa"/>
              <w:bottom w:w="160.0" w:type="dxa"/>
              <w:right w:w="150.0" w:type="dxa"/>
            </w:tcMar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60.0" w:type="dxa"/>
              <w:left w:w="150.0" w:type="dxa"/>
              <w:bottom w:w="160.0" w:type="dxa"/>
              <w:right w:w="150.0" w:type="dxa"/>
            </w:tcMar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60.0" w:type="dxa"/>
              <w:left w:w="150.0" w:type="dxa"/>
              <w:bottom w:w="160.0" w:type="dxa"/>
              <w:right w:w="150.0" w:type="dxa"/>
            </w:tcMar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60.0" w:type="dxa"/>
              <w:left w:w="150.0" w:type="dxa"/>
              <w:bottom w:w="160.0" w:type="dxa"/>
              <w:right w:w="150.0" w:type="dxa"/>
            </w:tcMar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60.0" w:type="dxa"/>
              <w:left w:w="150.0" w:type="dxa"/>
              <w:bottom w:w="160.0" w:type="dxa"/>
              <w:right w:w="150.0" w:type="dxa"/>
            </w:tcMar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60.0" w:type="dxa"/>
              <w:left w:w="150.0" w:type="dxa"/>
              <w:bottom w:w="160.0" w:type="dxa"/>
              <w:right w:w="150.0" w:type="dxa"/>
            </w:tcMar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60.0" w:type="dxa"/>
              <w:left w:w="150.0" w:type="dxa"/>
              <w:bottom w:w="160.0" w:type="dxa"/>
              <w:right w:w="150.0" w:type="dxa"/>
            </w:tcMar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60.0" w:type="dxa"/>
              <w:left w:w="150.0" w:type="dxa"/>
              <w:bottom w:w="160.0" w:type="dxa"/>
              <w:right w:w="150.0" w:type="dxa"/>
            </w:tcMar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60.0" w:type="dxa"/>
              <w:left w:w="150.0" w:type="dxa"/>
              <w:bottom w:w="160.0" w:type="dxa"/>
              <w:right w:w="150.0" w:type="dxa"/>
            </w:tcMar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60.0" w:type="dxa"/>
              <w:left w:w="150.0" w:type="dxa"/>
              <w:bottom w:w="160.0" w:type="dxa"/>
              <w:right w:w="150.0" w:type="dxa"/>
            </w:tcMar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60.0" w:type="dxa"/>
              <w:left w:w="150.0" w:type="dxa"/>
              <w:bottom w:w="160.0" w:type="dxa"/>
              <w:right w:w="150.0" w:type="dxa"/>
            </w:tcMar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60.0" w:type="dxa"/>
              <w:left w:w="150.0" w:type="dxa"/>
              <w:bottom w:w="160.0" w:type="dxa"/>
              <w:right w:w="150.0" w:type="dxa"/>
            </w:tcMar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60.0" w:type="dxa"/>
              <w:left w:w="150.0" w:type="dxa"/>
              <w:bottom w:w="160.0" w:type="dxa"/>
              <w:right w:w="150.0" w:type="dxa"/>
            </w:tcMar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60.0" w:type="dxa"/>
              <w:left w:w="150.0" w:type="dxa"/>
              <w:bottom w:w="160.0" w:type="dxa"/>
              <w:right w:w="150.0" w:type="dxa"/>
            </w:tcMar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60.0" w:type="dxa"/>
              <w:left w:w="150.0" w:type="dxa"/>
              <w:bottom w:w="160.0" w:type="dxa"/>
              <w:right w:w="150.0" w:type="dxa"/>
            </w:tcMar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60.0" w:type="dxa"/>
              <w:left w:w="150.0" w:type="dxa"/>
              <w:bottom w:w="160.0" w:type="dxa"/>
              <w:right w:w="150.0" w:type="dxa"/>
            </w:tcMar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60.0" w:type="dxa"/>
              <w:left w:w="150.0" w:type="dxa"/>
              <w:bottom w:w="160.0" w:type="dxa"/>
              <w:right w:w="150.0" w:type="dxa"/>
            </w:tcMar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500" w:top="620" w:left="1350" w:right="13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pBdr>
        <w:top w:color="aaaaaa" w:space="12" w:sz="4" w:val="single"/>
      </w:pBdr>
      <w:spacing w:before="240" w:lineRule="auto"/>
      <w:jc w:val="center"/>
      <w:rPr/>
    </w:pPr>
    <w:r w:rsidDel="00000000" w:rsidR="00000000" w:rsidRPr="00000000">
      <w:rPr>
        <w:rFonts w:ascii="Poppins" w:cs="Poppins" w:eastAsia="Poppins" w:hAnsi="Poppins"/>
        <w:color w:val="18555a"/>
        <w:sz w:val="18"/>
        <w:szCs w:val="18"/>
        <w:rtl w:val="0"/>
      </w:rPr>
      <w:t xml:space="preserve">© 2026 Cura, Inc.  |  cura.us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VJtBTqLJIeQTQdMb62LlQbjEHg==">CgMxLjA4AHIhMThFLU9SSDhkYUplNXNGd1NjOHBVdU1KNWdfWGh1ZjNZ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2026-08-17T08:11:47.024Z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